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85B" w:rsidRPr="0046585B" w:rsidRDefault="0046585B" w:rsidP="0046585B">
      <w:pPr>
        <w:spacing w:line="480" w:lineRule="auto"/>
        <w:rPr>
          <w:rFonts w:ascii="Times New Roman" w:hAnsi="Times New Roman" w:cs="Times New Roman"/>
          <w:sz w:val="24"/>
        </w:rPr>
      </w:pPr>
    </w:p>
    <w:p w:rsidR="0046585B" w:rsidRPr="0046585B" w:rsidRDefault="0046585B" w:rsidP="0046585B">
      <w:pPr>
        <w:spacing w:line="480" w:lineRule="auto"/>
        <w:rPr>
          <w:rFonts w:ascii="Times New Roman" w:hAnsi="Times New Roman" w:cs="Times New Roman"/>
          <w:sz w:val="24"/>
        </w:rPr>
      </w:pPr>
    </w:p>
    <w:p w:rsidR="0046585B" w:rsidRPr="0046585B" w:rsidRDefault="0046585B" w:rsidP="0046585B">
      <w:pPr>
        <w:spacing w:line="480" w:lineRule="auto"/>
        <w:rPr>
          <w:rFonts w:ascii="Times New Roman" w:hAnsi="Times New Roman" w:cs="Times New Roman"/>
          <w:sz w:val="24"/>
        </w:rPr>
      </w:pPr>
    </w:p>
    <w:p w:rsidR="0046585B" w:rsidRPr="0046585B" w:rsidRDefault="0046585B" w:rsidP="0046585B">
      <w:pPr>
        <w:spacing w:line="480" w:lineRule="auto"/>
        <w:rPr>
          <w:rFonts w:ascii="Times New Roman" w:hAnsi="Times New Roman" w:cs="Times New Roman"/>
          <w:sz w:val="24"/>
        </w:rPr>
      </w:pPr>
    </w:p>
    <w:p w:rsidR="0046585B" w:rsidRPr="0046585B" w:rsidRDefault="0046585B" w:rsidP="0046585B">
      <w:pPr>
        <w:spacing w:line="480" w:lineRule="auto"/>
        <w:rPr>
          <w:rFonts w:ascii="Times New Roman" w:hAnsi="Times New Roman" w:cs="Times New Roman"/>
          <w:sz w:val="24"/>
        </w:rPr>
      </w:pPr>
    </w:p>
    <w:p w:rsidR="0046585B" w:rsidRPr="0046585B" w:rsidRDefault="0046585B" w:rsidP="0046585B">
      <w:pPr>
        <w:spacing w:line="480" w:lineRule="auto"/>
        <w:jc w:val="center"/>
        <w:rPr>
          <w:rFonts w:ascii="Times New Roman" w:hAnsi="Times New Roman" w:cs="Times New Roman"/>
          <w:sz w:val="24"/>
        </w:rPr>
      </w:pPr>
      <w:r w:rsidRPr="0046585B">
        <w:rPr>
          <w:rFonts w:ascii="Times New Roman" w:hAnsi="Times New Roman" w:cs="Times New Roman"/>
          <w:sz w:val="24"/>
        </w:rPr>
        <w:t>Trauma-Informed Care for Children With Personality Disorders</w:t>
      </w:r>
    </w:p>
    <w:p w:rsidR="0046585B" w:rsidRPr="0046585B" w:rsidRDefault="0046585B" w:rsidP="0046585B">
      <w:pPr>
        <w:spacing w:line="480" w:lineRule="auto"/>
        <w:jc w:val="center"/>
        <w:rPr>
          <w:rFonts w:ascii="Times New Roman" w:hAnsi="Times New Roman" w:cs="Times New Roman"/>
          <w:sz w:val="24"/>
        </w:rPr>
      </w:pPr>
      <w:r w:rsidRPr="0046585B">
        <w:rPr>
          <w:rFonts w:ascii="Times New Roman" w:hAnsi="Times New Roman" w:cs="Times New Roman"/>
          <w:sz w:val="24"/>
        </w:rPr>
        <w:t>Name of Student</w:t>
      </w:r>
    </w:p>
    <w:p w:rsidR="0046585B" w:rsidRPr="0046585B" w:rsidRDefault="0046585B" w:rsidP="0046585B">
      <w:pPr>
        <w:spacing w:line="480" w:lineRule="auto"/>
        <w:jc w:val="center"/>
        <w:rPr>
          <w:rFonts w:ascii="Times New Roman" w:hAnsi="Times New Roman" w:cs="Times New Roman"/>
          <w:sz w:val="24"/>
        </w:rPr>
      </w:pPr>
      <w:r w:rsidRPr="0046585B">
        <w:rPr>
          <w:rFonts w:ascii="Times New Roman" w:hAnsi="Times New Roman" w:cs="Times New Roman"/>
          <w:sz w:val="24"/>
        </w:rPr>
        <w:t>Name of Institution</w:t>
      </w:r>
    </w:p>
    <w:p w:rsidR="0046585B" w:rsidRPr="0046585B" w:rsidRDefault="0046585B" w:rsidP="0046585B">
      <w:pPr>
        <w:spacing w:line="480" w:lineRule="auto"/>
        <w:jc w:val="center"/>
        <w:rPr>
          <w:rFonts w:ascii="Times New Roman" w:hAnsi="Times New Roman" w:cs="Times New Roman"/>
          <w:sz w:val="24"/>
        </w:rPr>
      </w:pPr>
      <w:r w:rsidRPr="0046585B">
        <w:rPr>
          <w:rFonts w:ascii="Times New Roman" w:hAnsi="Times New Roman" w:cs="Times New Roman"/>
          <w:sz w:val="24"/>
        </w:rPr>
        <w:t xml:space="preserve">Date </w:t>
      </w:r>
      <w:r w:rsidRPr="0046585B">
        <w:rPr>
          <w:rFonts w:ascii="Times New Roman" w:hAnsi="Times New Roman" w:cs="Times New Roman"/>
          <w:sz w:val="24"/>
        </w:rPr>
        <w:br w:type="page"/>
      </w:r>
    </w:p>
    <w:p w:rsidR="0046585B" w:rsidRPr="0046585B" w:rsidRDefault="0046585B" w:rsidP="0046585B">
      <w:pPr>
        <w:spacing w:line="480" w:lineRule="auto"/>
        <w:ind w:firstLine="720"/>
        <w:rPr>
          <w:rFonts w:ascii="Times New Roman" w:hAnsi="Times New Roman" w:cs="Times New Roman"/>
          <w:sz w:val="24"/>
        </w:rPr>
      </w:pPr>
      <w:r w:rsidRPr="0046585B">
        <w:rPr>
          <w:rFonts w:ascii="Times New Roman" w:hAnsi="Times New Roman" w:cs="Times New Roman"/>
          <w:sz w:val="24"/>
        </w:rPr>
        <w:lastRenderedPageBreak/>
        <w:t xml:space="preserve">I have come to realize that social awkwardness is a highly familiar feat among communities and groups of people, and in most cases, is a manifestation of personality disorders. In hindsight, the lack of different people to cooperate, coordinate, and get along with others is neither subjective to the environment nor the circumstances. The awareness of the dissociative character traits of people made me curious to exploit how such tendencies manifest in children. I have come to realize that children are harder to diagnose that adolescents and teenagers since they are still in their formative years, and there is a lack of comprehensive medical data about the group that exhibits such traits. However, a familiar feat I have come to assess for children showing signs of personality disorders reflect upon some symptoms entailed for the adults and teen populations. One critical element I determined is the problems such children have in maintaining healthy relationships. I also noted an increased frequency and tendency to place the blame on their situations or others for the issue that they brought about. Though medical journal dictates that personality disorders become highly apparent in adolescence or early adulthood, I agree with the research that stipulates the disorders begin in childhood. One critical observation that multiple sources entailed is the high chances for children with such traits to feel isolated and lonely. </w:t>
      </w:r>
    </w:p>
    <w:p w:rsidR="0046585B" w:rsidRPr="0046585B" w:rsidRDefault="0046585B" w:rsidP="0046585B">
      <w:pPr>
        <w:spacing w:line="480" w:lineRule="auto"/>
        <w:ind w:firstLine="720"/>
        <w:rPr>
          <w:rFonts w:ascii="Times New Roman" w:hAnsi="Times New Roman" w:cs="Times New Roman"/>
          <w:sz w:val="24"/>
        </w:rPr>
      </w:pPr>
      <w:r w:rsidRPr="0046585B">
        <w:rPr>
          <w:rFonts w:ascii="Times New Roman" w:hAnsi="Times New Roman" w:cs="Times New Roman"/>
          <w:sz w:val="24"/>
        </w:rPr>
        <w:t xml:space="preserve">The societal element allows for the diversity of individuals, and the same is reflected upon the children. However, my assessment shows that children with personality disorders are very different in the thoughts, feelings, behavior, and relationship quotient with others. Diversity in the community is, therefore, a mask that actively limits the notice-ability of such traits within its members. However, I found that parents with children diagnosed with personality disorders ordinarily noticed some of the characteristics very early on in childhood.  The prominence of the population with personality disorders within a community is highly evident in the persons who </w:t>
      </w:r>
      <w:r w:rsidRPr="0046585B">
        <w:rPr>
          <w:rFonts w:ascii="Times New Roman" w:hAnsi="Times New Roman" w:cs="Times New Roman"/>
          <w:sz w:val="24"/>
        </w:rPr>
        <w:lastRenderedPageBreak/>
        <w:t xml:space="preserve">are shunned. I gather that mental illness is associated with a considerable level of stigma, and hence the same is reflected upon disorders. However, the context of personality is not an adequate determinant of a personality disorder. On those grounds, I would classify every individual with an odd character in the category. However, the propensity of an individual to harm themselves or others is an adequate identifier for me. </w:t>
      </w:r>
    </w:p>
    <w:p w:rsidR="0046585B" w:rsidRPr="0046585B" w:rsidRDefault="0046585B" w:rsidP="0046585B">
      <w:pPr>
        <w:spacing w:line="480" w:lineRule="auto"/>
        <w:ind w:firstLine="720"/>
        <w:rPr>
          <w:rFonts w:ascii="Times New Roman" w:hAnsi="Times New Roman" w:cs="Times New Roman"/>
          <w:sz w:val="24"/>
        </w:rPr>
      </w:pPr>
      <w:r w:rsidRPr="0046585B">
        <w:rPr>
          <w:rFonts w:ascii="Times New Roman" w:hAnsi="Times New Roman" w:cs="Times New Roman"/>
          <w:sz w:val="24"/>
        </w:rPr>
        <w:t xml:space="preserve">The manifestation of the symptoms of personality disorders for children is also subject to environmental factors. I found that Jani, Johnson, Banu, and Shah (2016) identified high levels of proficiency for borderline personality disorders across cultural lines, with a highly targeted approach to the immigrant populations. However, environmental factors are not limited to geography or culture. The environment also has a significant influence on the perception of self for each individual. The context brings into the limelight the importance of nurture in the role and character of each person. One point I find that it is common to a high number of people personality disorders is the lack of sense of help. The personal values held by each individual provide the context into their character. However, individuals with personality disorders struggle with the notion and perception of who they are and what to believe in. The role of the environment may influence the personal values held by individuals towards or against traits exhibited by individuals with personality disorders. </w:t>
      </w:r>
    </w:p>
    <w:p w:rsidR="0046585B" w:rsidRPr="0046585B" w:rsidRDefault="0046585B" w:rsidP="0046585B">
      <w:pPr>
        <w:spacing w:line="480" w:lineRule="auto"/>
        <w:ind w:firstLine="720"/>
        <w:rPr>
          <w:rFonts w:ascii="Times New Roman" w:hAnsi="Times New Roman" w:cs="Times New Roman"/>
          <w:sz w:val="24"/>
        </w:rPr>
      </w:pPr>
      <w:r w:rsidRPr="0046585B">
        <w:rPr>
          <w:rFonts w:ascii="Times New Roman" w:hAnsi="Times New Roman" w:cs="Times New Roman"/>
          <w:sz w:val="24"/>
        </w:rPr>
        <w:t xml:space="preserve">While approaching the situation of personality disorder from a trauma-informed care perspective, it is highly prudent to evaluate that each person has a higher chance of historical experience of trauma, as opposed to not having endured one. The context is highly subjective to traumatic experiences of the past, particularly childhood. The background also acknowledges the magnitude of influence such experiences may have in the shaping of life for each individual. I consider such scenarios through the evaluation of events, experiences, and effects. The most </w:t>
      </w:r>
      <w:r w:rsidRPr="0046585B">
        <w:rPr>
          <w:rFonts w:ascii="Times New Roman" w:hAnsi="Times New Roman" w:cs="Times New Roman"/>
          <w:sz w:val="24"/>
        </w:rPr>
        <w:lastRenderedPageBreak/>
        <w:t xml:space="preserve">malleable stage of development for each person is when they are still children.  It is influential in having a broad foundation of knowledge on the variety of sources of traumatic experience that children may endure. The identification markers critical in targeting the children population is the analysis of history involving the child through probable channels of domestic violence, child neglect, or child abuse. I warrant that such experiences are adequate to acquire support from service needs. The concept of trauma-informed care is highly defined through channels of realization, recognition, response, and resisting re-traumatization. </w:t>
      </w:r>
    </w:p>
    <w:p w:rsidR="0046585B" w:rsidRPr="0046585B" w:rsidRDefault="0046585B" w:rsidP="0046585B">
      <w:pPr>
        <w:spacing w:line="480" w:lineRule="auto"/>
        <w:ind w:firstLine="720"/>
        <w:rPr>
          <w:rFonts w:ascii="Times New Roman" w:hAnsi="Times New Roman" w:cs="Times New Roman"/>
          <w:sz w:val="24"/>
        </w:rPr>
      </w:pPr>
      <w:r w:rsidRPr="0046585B">
        <w:rPr>
          <w:rFonts w:ascii="Times New Roman" w:hAnsi="Times New Roman" w:cs="Times New Roman"/>
          <w:sz w:val="24"/>
        </w:rPr>
        <w:t xml:space="preserve">The response I advocate for the care to be provided should keep in mind the necessities for bringing up the best possible solutions for the victims and their families. I, therefore, recommend for highly structured policies and functions from the service providers to commandeer the appropriate response. The malleability of the children also warrants an approach that goes beyond the clinical aspect of care. The interventions and evidence-based programs are a mandatory requirement, but the approach to the child should be individual-focused, such that they are customized to address the symptoms each child manifests. The necessity addresses both levels of organization and services offered in customization of the necessities for the target population. Therefore, a baseline of knowledge about the child and their family is crucial towards gathering adequate data before delivering service. I perceive the personal knowledge as a gateway to garnering the trust or confidence of the child, which is a daunting task in consideration of the trauma. I also think that personal contact is influential since it may illuminate on whether the traumatic experience is a single stand-alone event, or emanates from multiple adverse experiences. </w:t>
      </w:r>
    </w:p>
    <w:p w:rsidR="0046585B" w:rsidRPr="0046585B" w:rsidRDefault="0046585B" w:rsidP="0046585B">
      <w:pPr>
        <w:spacing w:line="480" w:lineRule="auto"/>
        <w:ind w:firstLine="720"/>
        <w:rPr>
          <w:rFonts w:ascii="Times New Roman" w:hAnsi="Times New Roman" w:cs="Times New Roman"/>
          <w:sz w:val="24"/>
        </w:rPr>
      </w:pPr>
      <w:r w:rsidRPr="0046585B">
        <w:rPr>
          <w:rFonts w:ascii="Times New Roman" w:hAnsi="Times New Roman" w:cs="Times New Roman"/>
          <w:sz w:val="24"/>
        </w:rPr>
        <w:t xml:space="preserve">The children brought in for child welfare services always present with complexity in the variety and range of behaviors and symptoms, all emanating from the past traumas. There is also </w:t>
      </w:r>
      <w:r w:rsidRPr="0046585B">
        <w:rPr>
          <w:rFonts w:ascii="Times New Roman" w:hAnsi="Times New Roman" w:cs="Times New Roman"/>
          <w:sz w:val="24"/>
        </w:rPr>
        <w:lastRenderedPageBreak/>
        <w:t xml:space="preserve">a need for careful assessment of past events to provide a credible link of the behaviors to specific episodes and events that have a probability to bring about trauma. The realization of the need for the trauma-centered approach is a milestone in itself. However, per my earlier recommendation, a bond with the children is impactful in diagnosis and customization of service. In this context, the individuals who bring in the child for welfare service have no diagnosing capability but offer a vast knowledge of previous experience that may be the root of the symptoms and behaviors expressed by the child. The establishment of a rapport will serve up critical information that may be structured to the care for the child. I perceive the step as a critical aspect of the establishment of competency and also in the prevention of re-traumatization for the child. </w:t>
      </w:r>
    </w:p>
    <w:p w:rsidR="0046585B" w:rsidRPr="0046585B" w:rsidRDefault="0046585B" w:rsidP="0046585B">
      <w:pPr>
        <w:spacing w:line="480" w:lineRule="auto"/>
        <w:ind w:firstLine="720"/>
        <w:rPr>
          <w:rFonts w:ascii="Times New Roman" w:hAnsi="Times New Roman" w:cs="Times New Roman"/>
          <w:sz w:val="24"/>
        </w:rPr>
      </w:pPr>
      <w:r w:rsidRPr="0046585B">
        <w:rPr>
          <w:rFonts w:ascii="Times New Roman" w:hAnsi="Times New Roman" w:cs="Times New Roman"/>
          <w:sz w:val="24"/>
        </w:rPr>
        <w:t xml:space="preserve">Re-traumatization presents as any form or situation by which despicable resemblance is shared with the individual trauma either literally or symbolically. The situation then acts as a trigger for additional symptoms that breed reactions and feelings with a keen association with the original traumatic experience. Though the context is highly unintentional, I recommend against certain practices like isolation and restraints since they have an obvious tendency to bring about re-traumatization. The lack of a baseline of appropriate information and a well fragmented and customized response to the child is a highly probable cause for bringing about the traumatic experience for the child and potentially worsening the manifestation of symptoms. The context of care is crucial in the manipulation of factors to garner a positive influence and response by the children. I recommend consideration for the current system and the relationships in the analysis of re-traumatization for the children population. The current problem in the structure is that medical sources of information detail approaches for patients with a single traumatic event, but does not expand to include multiple events. </w:t>
      </w:r>
    </w:p>
    <w:p w:rsidR="0046585B" w:rsidRPr="0046585B" w:rsidRDefault="0046585B" w:rsidP="0046585B">
      <w:pPr>
        <w:spacing w:line="480" w:lineRule="auto"/>
        <w:ind w:firstLine="720"/>
        <w:rPr>
          <w:rFonts w:ascii="Times New Roman" w:hAnsi="Times New Roman" w:cs="Times New Roman"/>
          <w:sz w:val="24"/>
        </w:rPr>
      </w:pPr>
      <w:r w:rsidRPr="0046585B">
        <w:rPr>
          <w:rFonts w:ascii="Times New Roman" w:hAnsi="Times New Roman" w:cs="Times New Roman"/>
          <w:sz w:val="24"/>
        </w:rPr>
        <w:lastRenderedPageBreak/>
        <w:t xml:space="preserve">The trauma-informed care approach is highly defined by a vast collection of information pertaining to a case in point. The information about the structure should account for the policies and the procedures in assessing how things are done. I think it is highly subjective, particularly to children, to have them continually and constantly tell the story of their traumatic experience. Opening up about the event is a crucial factor in the establishment of a rapport, but if it is done constantly, the subject tends to relieve the experience every instance. Children are also keenly aware of their surroundings and the treatment accorded to them. It is critical that children do not feel like subjects or tests during the process. Therefore, the structure should accommodate for their childish and playful tendencies. I recommend not addressing them as case numbers. I believe that children would not feel safe if the treatment accorded to them summed them up under labels. Despite the traumatic experience, for all children, any procedure that requires them to disrobe should be avoided or done delicately. </w:t>
      </w:r>
    </w:p>
    <w:p w:rsidR="0046585B" w:rsidRPr="0046585B" w:rsidRDefault="0046585B" w:rsidP="0046585B">
      <w:pPr>
        <w:spacing w:line="480" w:lineRule="auto"/>
        <w:ind w:firstLine="720"/>
        <w:rPr>
          <w:rFonts w:ascii="Times New Roman" w:hAnsi="Times New Roman" w:cs="Times New Roman"/>
          <w:sz w:val="24"/>
        </w:rPr>
      </w:pPr>
      <w:r w:rsidRPr="0046585B">
        <w:rPr>
          <w:rFonts w:ascii="Times New Roman" w:hAnsi="Times New Roman" w:cs="Times New Roman"/>
          <w:sz w:val="24"/>
        </w:rPr>
        <w:t xml:space="preserve">When assessing the relationship context with family and friends, I recommend taking account of the power, control, and subversiveness of the relationship dynamic. Notable symptoms could range from an outspoken rebel to an isolated child. I think it is prudent to inquire about the nature of the child to be seen or heard. Additionally, the assessment should take note as much as possible to the conducive atmosphere of the various relationships to accommodate the sight and voice of the child. The relationship should also account for any instance or tendencies that violate the level of trust between the child and other people. I see the violation of trust as a very influential element in the assessment of the emotional safety net granted to the child, which consequentially influences the collaboration of the candidate. Collaboration, on the other hand, will take not of the reasoning pattern of the child in how they accomplish tasks. I recommend assessing whether the child does things just for the sake, or with </w:t>
      </w:r>
      <w:r w:rsidRPr="0046585B">
        <w:rPr>
          <w:rFonts w:ascii="Times New Roman" w:hAnsi="Times New Roman" w:cs="Times New Roman"/>
          <w:sz w:val="24"/>
        </w:rPr>
        <w:lastRenderedPageBreak/>
        <w:t xml:space="preserve">guided motivations and intentions. The psychology of the child is the most informative aspect of the evaluation. Additionally, I would account for the use of oppressive language, coercive practices, or any form of punitive treatment regarding the child or anyone within the environment of the child. Such manipulative patterns to another character may influence the same habits on the child. </w:t>
      </w:r>
    </w:p>
    <w:p w:rsidR="0046585B" w:rsidRPr="0046585B" w:rsidRDefault="0046585B" w:rsidP="0046585B">
      <w:pPr>
        <w:spacing w:line="480" w:lineRule="auto"/>
        <w:ind w:firstLine="720"/>
        <w:rPr>
          <w:rFonts w:ascii="Times New Roman" w:hAnsi="Times New Roman" w:cs="Times New Roman"/>
          <w:sz w:val="24"/>
        </w:rPr>
      </w:pPr>
      <w:r w:rsidRPr="0046585B">
        <w:rPr>
          <w:rFonts w:ascii="Times New Roman" w:hAnsi="Times New Roman" w:cs="Times New Roman"/>
          <w:sz w:val="24"/>
        </w:rPr>
        <w:t xml:space="preserve">The last element of care is a consideration for the caregiver. Trauma-informed care requires real connection with the child and in some situations, may influence the caregiver. The innocence of the children may create or enhance the burden of grief, which is an early marker for vicarious trauma. The reflection and assessment of the child present a high chance for endorsed symptoms for the carers, which are consistent with post-traumatic, anxiety, and mood disorders. The grieving aspect for the caregivers takes into account the alteration in the course of life and the well-being of the child. They are, therefore, more burdened than any other caregivers for other mental illnesses. The dense and vast foundation of information on how to deal with vicarious trauma is influential to the caregivers, and the context of care should also implement a variety of interventions to cater for the well-being of their care providers. </w:t>
      </w:r>
    </w:p>
    <w:p w:rsidR="0046585B" w:rsidRPr="0046585B" w:rsidRDefault="0046585B" w:rsidP="0046585B">
      <w:pPr>
        <w:spacing w:line="480" w:lineRule="auto"/>
        <w:ind w:firstLine="720"/>
        <w:rPr>
          <w:rFonts w:ascii="Times New Roman" w:hAnsi="Times New Roman" w:cs="Times New Roman"/>
          <w:sz w:val="24"/>
        </w:rPr>
      </w:pPr>
    </w:p>
    <w:p w:rsidR="0046585B" w:rsidRPr="0046585B" w:rsidRDefault="0046585B" w:rsidP="0046585B">
      <w:pPr>
        <w:spacing w:line="480" w:lineRule="auto"/>
        <w:ind w:firstLine="720"/>
        <w:rPr>
          <w:rFonts w:ascii="Times New Roman" w:hAnsi="Times New Roman" w:cs="Times New Roman"/>
          <w:sz w:val="24"/>
        </w:rPr>
      </w:pPr>
      <w:r w:rsidRPr="0046585B">
        <w:rPr>
          <w:rFonts w:ascii="Times New Roman" w:hAnsi="Times New Roman" w:cs="Times New Roman"/>
          <w:sz w:val="24"/>
        </w:rPr>
        <w:br w:type="page"/>
      </w:r>
    </w:p>
    <w:p w:rsidR="0046585B" w:rsidRPr="0046585B" w:rsidRDefault="0046585B" w:rsidP="0046585B">
      <w:pPr>
        <w:spacing w:line="480" w:lineRule="auto"/>
        <w:jc w:val="center"/>
        <w:rPr>
          <w:rFonts w:ascii="Times New Roman" w:hAnsi="Times New Roman" w:cs="Times New Roman"/>
          <w:sz w:val="24"/>
        </w:rPr>
      </w:pPr>
      <w:r w:rsidRPr="0046585B">
        <w:rPr>
          <w:rFonts w:ascii="Times New Roman" w:hAnsi="Times New Roman" w:cs="Times New Roman"/>
          <w:sz w:val="24"/>
        </w:rPr>
        <w:lastRenderedPageBreak/>
        <w:t>References</w:t>
      </w:r>
    </w:p>
    <w:p w:rsidR="0046585B" w:rsidRPr="0046585B" w:rsidRDefault="0046585B" w:rsidP="0046585B">
      <w:pPr>
        <w:spacing w:line="480" w:lineRule="auto"/>
        <w:ind w:left="720" w:hanging="720"/>
        <w:rPr>
          <w:rFonts w:ascii="Times New Roman" w:hAnsi="Times New Roman" w:cs="Times New Roman"/>
          <w:sz w:val="24"/>
        </w:rPr>
      </w:pPr>
      <w:r w:rsidRPr="0046585B">
        <w:rPr>
          <w:rFonts w:ascii="Times New Roman" w:hAnsi="Times New Roman" w:cs="Times New Roman"/>
          <w:sz w:val="24"/>
        </w:rPr>
        <w:t>Bailey, R. C., &amp; Grenyer, B. F. (2014). Supporting a person with personality disorder: a study of carer burden and well-being. Journal of Personality Disorders, 28 (6), 796-809.</w:t>
      </w:r>
    </w:p>
    <w:p w:rsidR="0046585B" w:rsidRPr="0046585B" w:rsidRDefault="0046585B" w:rsidP="0046585B">
      <w:pPr>
        <w:spacing w:line="480" w:lineRule="auto"/>
        <w:ind w:left="720" w:hanging="720"/>
        <w:rPr>
          <w:rFonts w:ascii="Times New Roman" w:hAnsi="Times New Roman" w:cs="Times New Roman"/>
          <w:sz w:val="24"/>
        </w:rPr>
      </w:pPr>
      <w:r w:rsidRPr="0046585B">
        <w:rPr>
          <w:rFonts w:ascii="Times New Roman" w:hAnsi="Times New Roman" w:cs="Times New Roman"/>
          <w:sz w:val="24"/>
        </w:rPr>
        <w:t>Chang, B., Sharp, C., &amp; Ha, C. (2011). The criterion validity of the Borderline Personality Features Scale for Children in an adolescent inpatient setting. Journal of Personality Disorders, 25 (4), 492-503.</w:t>
      </w:r>
    </w:p>
    <w:p w:rsidR="0046585B" w:rsidRPr="0046585B" w:rsidRDefault="0046585B" w:rsidP="0046585B">
      <w:pPr>
        <w:spacing w:line="480" w:lineRule="auto"/>
        <w:ind w:left="720" w:hanging="720"/>
        <w:rPr>
          <w:rFonts w:ascii="Times New Roman" w:hAnsi="Times New Roman" w:cs="Times New Roman"/>
          <w:sz w:val="24"/>
        </w:rPr>
      </w:pPr>
      <w:r w:rsidRPr="0046585B">
        <w:rPr>
          <w:rFonts w:ascii="Times New Roman" w:hAnsi="Times New Roman" w:cs="Times New Roman"/>
          <w:sz w:val="24"/>
        </w:rPr>
        <w:t>Fanaian, M., Lewis, K. L., &amp; Grenyer, B. F. (2013). Improving services for people with personality disorders: The views of experienced clinicians. International Journal of Mental Health Nursing, 22 (5), 465-471.</w:t>
      </w:r>
    </w:p>
    <w:p w:rsidR="0046585B" w:rsidRPr="0046585B" w:rsidRDefault="0046585B" w:rsidP="0046585B">
      <w:pPr>
        <w:spacing w:line="480" w:lineRule="auto"/>
        <w:ind w:left="720" w:hanging="720"/>
        <w:rPr>
          <w:rFonts w:ascii="Times New Roman" w:hAnsi="Times New Roman" w:cs="Times New Roman"/>
          <w:sz w:val="24"/>
        </w:rPr>
      </w:pPr>
      <w:r w:rsidRPr="0046585B">
        <w:rPr>
          <w:rFonts w:ascii="Times New Roman" w:hAnsi="Times New Roman" w:cs="Times New Roman"/>
          <w:sz w:val="24"/>
        </w:rPr>
        <w:t>Jani, S., Johnson, R. S., Banu, S., &amp; Shah, A. (2016). Cross-cultural bias in the diagnosis of borderline personality disorder. Bulletin of the Menninger Clinic, 80 (3), 146-165.</w:t>
      </w:r>
    </w:p>
    <w:p w:rsidR="0046585B" w:rsidRPr="0046585B" w:rsidRDefault="0046585B" w:rsidP="0046585B">
      <w:pPr>
        <w:spacing w:line="480" w:lineRule="auto"/>
        <w:ind w:left="720" w:hanging="720"/>
        <w:rPr>
          <w:rFonts w:ascii="Times New Roman" w:hAnsi="Times New Roman" w:cs="Times New Roman"/>
          <w:sz w:val="24"/>
        </w:rPr>
      </w:pPr>
      <w:r w:rsidRPr="0046585B">
        <w:rPr>
          <w:rFonts w:ascii="Times New Roman" w:hAnsi="Times New Roman" w:cs="Times New Roman"/>
          <w:sz w:val="24"/>
        </w:rPr>
        <w:t>McCarthy, K. L., Carter, P. E., &amp; Grenyer, B. F. (2013). Challenges to getting evidence into practice: expert clinician perspectives on psychotherapy for personality disorders. Journal of Mental Health, 22 (6), 482-491.</w:t>
      </w:r>
    </w:p>
    <w:p w:rsidR="0035498F" w:rsidRPr="0046585B" w:rsidRDefault="0035498F" w:rsidP="0046585B">
      <w:pPr>
        <w:spacing w:line="480" w:lineRule="auto"/>
        <w:ind w:left="720" w:hanging="720"/>
        <w:rPr>
          <w:rFonts w:ascii="Times New Roman" w:hAnsi="Times New Roman" w:cs="Times New Roman"/>
          <w:sz w:val="24"/>
        </w:rPr>
      </w:pPr>
    </w:p>
    <w:sectPr w:rsidR="0035498F" w:rsidRPr="0046585B" w:rsidSect="004658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6934" w:rsidRDefault="00D66934" w:rsidP="0046585B">
      <w:pPr>
        <w:spacing w:after="0" w:line="240" w:lineRule="auto"/>
      </w:pPr>
      <w:r>
        <w:separator/>
      </w:r>
    </w:p>
  </w:endnote>
  <w:endnote w:type="continuationSeparator" w:id="1">
    <w:p w:rsidR="00D66934" w:rsidRDefault="00D66934" w:rsidP="004658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6934" w:rsidRDefault="00D66934" w:rsidP="0046585B">
      <w:pPr>
        <w:spacing w:after="0" w:line="240" w:lineRule="auto"/>
      </w:pPr>
      <w:r>
        <w:separator/>
      </w:r>
    </w:p>
  </w:footnote>
  <w:footnote w:type="continuationSeparator" w:id="1">
    <w:p w:rsidR="00D66934" w:rsidRDefault="00D66934" w:rsidP="004658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5B" w:rsidRPr="0046585B" w:rsidRDefault="0046585B">
    <w:pPr>
      <w:pStyle w:val="Header"/>
      <w:jc w:val="right"/>
      <w:rPr>
        <w:rFonts w:ascii="Times New Roman" w:hAnsi="Times New Roman" w:cs="Times New Roman"/>
        <w:sz w:val="24"/>
      </w:rPr>
    </w:pPr>
    <w:r w:rsidRPr="0046585B">
      <w:rPr>
        <w:rFonts w:ascii="Times New Roman" w:hAnsi="Times New Roman" w:cs="Times New Roman"/>
        <w:sz w:val="24"/>
      </w:rPr>
      <w:t>TRAUMA-INFORMED CARE FOR CHILDREN</w:t>
    </w:r>
    <w:r w:rsidRPr="0046585B">
      <w:rPr>
        <w:rFonts w:ascii="Times New Roman" w:hAnsi="Times New Roman" w:cs="Times New Roman"/>
        <w:sz w:val="24"/>
      </w:rPr>
      <w:tab/>
    </w:r>
    <w:sdt>
      <w:sdtPr>
        <w:rPr>
          <w:rFonts w:ascii="Times New Roman" w:hAnsi="Times New Roman" w:cs="Times New Roman"/>
          <w:sz w:val="24"/>
        </w:rPr>
        <w:id w:val="157336712"/>
        <w:docPartObj>
          <w:docPartGallery w:val="Page Numbers (Top of Page)"/>
          <w:docPartUnique/>
        </w:docPartObj>
      </w:sdtPr>
      <w:sdtContent>
        <w:r w:rsidRPr="0046585B">
          <w:rPr>
            <w:rFonts w:ascii="Times New Roman" w:hAnsi="Times New Roman" w:cs="Times New Roman"/>
            <w:sz w:val="24"/>
          </w:rPr>
          <w:fldChar w:fldCharType="begin"/>
        </w:r>
        <w:r w:rsidRPr="0046585B">
          <w:rPr>
            <w:rFonts w:ascii="Times New Roman" w:hAnsi="Times New Roman" w:cs="Times New Roman"/>
            <w:sz w:val="24"/>
          </w:rPr>
          <w:instrText xml:space="preserve"> PAGE   \* MERGEFORMAT </w:instrText>
        </w:r>
        <w:r w:rsidRPr="0046585B">
          <w:rPr>
            <w:rFonts w:ascii="Times New Roman" w:hAnsi="Times New Roman" w:cs="Times New Roman"/>
            <w:sz w:val="24"/>
          </w:rPr>
          <w:fldChar w:fldCharType="separate"/>
        </w:r>
        <w:r>
          <w:rPr>
            <w:rFonts w:ascii="Times New Roman" w:hAnsi="Times New Roman" w:cs="Times New Roman"/>
            <w:noProof/>
            <w:sz w:val="24"/>
          </w:rPr>
          <w:t>7</w:t>
        </w:r>
        <w:r w:rsidRPr="0046585B">
          <w:rPr>
            <w:rFonts w:ascii="Times New Roman" w:hAnsi="Times New Roman" w:cs="Times New Roman"/>
            <w:sz w:val="24"/>
          </w:rPr>
          <w:fldChar w:fldCharType="end"/>
        </w:r>
      </w:sdtContent>
    </w:sdt>
  </w:p>
  <w:p w:rsidR="0046585B" w:rsidRPr="0046585B" w:rsidRDefault="0046585B">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5B" w:rsidRPr="0046585B" w:rsidRDefault="0046585B">
    <w:pPr>
      <w:pStyle w:val="Header"/>
      <w:jc w:val="right"/>
      <w:rPr>
        <w:rFonts w:ascii="Times New Roman" w:hAnsi="Times New Roman" w:cs="Times New Roman"/>
        <w:sz w:val="24"/>
      </w:rPr>
    </w:pPr>
    <w:r w:rsidRPr="0046585B">
      <w:rPr>
        <w:rFonts w:ascii="Times New Roman" w:hAnsi="Times New Roman" w:cs="Times New Roman"/>
        <w:sz w:val="24"/>
      </w:rPr>
      <w:t>Running Head: TRAUMA-INFORMED CARE FOR CHILDREN</w:t>
    </w:r>
    <w:r w:rsidRPr="0046585B">
      <w:rPr>
        <w:rFonts w:ascii="Times New Roman" w:hAnsi="Times New Roman" w:cs="Times New Roman"/>
        <w:sz w:val="24"/>
      </w:rPr>
      <w:tab/>
    </w:r>
    <w:sdt>
      <w:sdtPr>
        <w:rPr>
          <w:rFonts w:ascii="Times New Roman" w:hAnsi="Times New Roman" w:cs="Times New Roman"/>
          <w:sz w:val="24"/>
        </w:rPr>
        <w:id w:val="157336784"/>
        <w:docPartObj>
          <w:docPartGallery w:val="Page Numbers (Top of Page)"/>
          <w:docPartUnique/>
        </w:docPartObj>
      </w:sdtPr>
      <w:sdtContent>
        <w:r w:rsidRPr="0046585B">
          <w:rPr>
            <w:rFonts w:ascii="Times New Roman" w:hAnsi="Times New Roman" w:cs="Times New Roman"/>
            <w:sz w:val="24"/>
          </w:rPr>
          <w:fldChar w:fldCharType="begin"/>
        </w:r>
        <w:r w:rsidRPr="0046585B">
          <w:rPr>
            <w:rFonts w:ascii="Times New Roman" w:hAnsi="Times New Roman" w:cs="Times New Roman"/>
            <w:sz w:val="24"/>
          </w:rPr>
          <w:instrText xml:space="preserve"> PAGE   \* MERGEFORMAT </w:instrText>
        </w:r>
        <w:r w:rsidRPr="0046585B">
          <w:rPr>
            <w:rFonts w:ascii="Times New Roman" w:hAnsi="Times New Roman" w:cs="Times New Roman"/>
            <w:sz w:val="24"/>
          </w:rPr>
          <w:fldChar w:fldCharType="separate"/>
        </w:r>
        <w:r>
          <w:rPr>
            <w:rFonts w:ascii="Times New Roman" w:hAnsi="Times New Roman" w:cs="Times New Roman"/>
            <w:noProof/>
            <w:sz w:val="24"/>
          </w:rPr>
          <w:t>1</w:t>
        </w:r>
        <w:r w:rsidRPr="0046585B">
          <w:rPr>
            <w:rFonts w:ascii="Times New Roman" w:hAnsi="Times New Roman" w:cs="Times New Roman"/>
            <w:sz w:val="24"/>
          </w:rPr>
          <w:fldChar w:fldCharType="end"/>
        </w:r>
      </w:sdtContent>
    </w:sdt>
  </w:p>
  <w:p w:rsidR="0046585B" w:rsidRPr="0046585B" w:rsidRDefault="0046585B">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90342"/>
    <w:rsid w:val="0004210B"/>
    <w:rsid w:val="00240616"/>
    <w:rsid w:val="00290342"/>
    <w:rsid w:val="0035498F"/>
    <w:rsid w:val="00354DAF"/>
    <w:rsid w:val="003F0DF2"/>
    <w:rsid w:val="0046585B"/>
    <w:rsid w:val="004A661D"/>
    <w:rsid w:val="00721F29"/>
    <w:rsid w:val="0073761B"/>
    <w:rsid w:val="007C0AC1"/>
    <w:rsid w:val="008C4F0F"/>
    <w:rsid w:val="00A95337"/>
    <w:rsid w:val="00AA6EDC"/>
    <w:rsid w:val="00B73598"/>
    <w:rsid w:val="00BA5978"/>
    <w:rsid w:val="00C15C6A"/>
    <w:rsid w:val="00C712E9"/>
    <w:rsid w:val="00C8470F"/>
    <w:rsid w:val="00D16949"/>
    <w:rsid w:val="00D56470"/>
    <w:rsid w:val="00D66934"/>
    <w:rsid w:val="00E32417"/>
    <w:rsid w:val="00E371AC"/>
    <w:rsid w:val="00E5043F"/>
    <w:rsid w:val="00EC29C3"/>
    <w:rsid w:val="00F707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6EDC"/>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6E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6EDC"/>
    <w:rPr>
      <w:rFonts w:ascii="Tahoma" w:hAnsi="Tahoma" w:cs="Tahoma"/>
      <w:sz w:val="16"/>
      <w:szCs w:val="16"/>
    </w:rPr>
  </w:style>
  <w:style w:type="character" w:customStyle="1" w:styleId="Heading1Char">
    <w:name w:val="Heading 1 Char"/>
    <w:basedOn w:val="DefaultParagraphFont"/>
    <w:link w:val="Heading1"/>
    <w:uiPriority w:val="9"/>
    <w:rsid w:val="00AA6EDC"/>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AA6EDC"/>
  </w:style>
  <w:style w:type="paragraph" w:styleId="Header">
    <w:name w:val="header"/>
    <w:basedOn w:val="Normal"/>
    <w:link w:val="HeaderChar"/>
    <w:uiPriority w:val="99"/>
    <w:unhideWhenUsed/>
    <w:rsid w:val="004658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85B"/>
  </w:style>
  <w:style w:type="paragraph" w:styleId="Footer">
    <w:name w:val="footer"/>
    <w:basedOn w:val="Normal"/>
    <w:link w:val="FooterChar"/>
    <w:uiPriority w:val="99"/>
    <w:semiHidden/>
    <w:unhideWhenUsed/>
    <w:rsid w:val="0046585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6585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Jan16</b:Tag>
    <b:SourceType>JournalArticle</b:SourceType>
    <b:Guid>{802EC79B-70E2-4DAC-B5AC-B47DEAECABF3}</b:Guid>
    <b:LCID>0</b:LCID>
    <b:Author>
      <b:Author>
        <b:NameList>
          <b:Person>
            <b:Last>Jani</b:Last>
            <b:First>S</b:First>
          </b:Person>
          <b:Person>
            <b:Last>Johnson</b:Last>
            <b:First>R</b:First>
            <b:Middle>S</b:Middle>
          </b:Person>
          <b:Person>
            <b:Last>Banu</b:Last>
            <b:First>S</b:First>
          </b:Person>
          <b:Person>
            <b:Last>Shah</b:Last>
            <b:First>A</b:First>
          </b:Person>
        </b:NameList>
      </b:Author>
    </b:Author>
    <b:Title>Cross-cultural bias in the diagnosis of borderline personality disorder</b:Title>
    <b:JournalName>Bulletin of the Menninger Clinic</b:JournalName>
    <b:Year>2016</b:Year>
    <b:Pages>146-165</b:Pages>
    <b:Publisher>Springer</b:Publisher>
    <b:Volume>80</b:Volume>
    <b:Issue>3</b:Issue>
    <b:RefOrder>1</b:RefOrder>
  </b:Source>
  <b:Source>
    <b:Tag>Bai14</b:Tag>
    <b:SourceType>JournalArticle</b:SourceType>
    <b:Guid>{C7586BB1-8F91-4E44-AB50-DE5945CDC691}</b:Guid>
    <b:LCID>0</b:LCID>
    <b:Author>
      <b:Author>
        <b:NameList>
          <b:Person>
            <b:Last>Bailey</b:Last>
            <b:First>Rachel</b:First>
            <b:Middle>C</b:Middle>
          </b:Person>
          <b:Person>
            <b:Last>Grenyer</b:Last>
            <b:First>Brin</b:First>
            <b:Middle>F S</b:Middle>
          </b:Person>
        </b:NameList>
      </b:Author>
    </b:Author>
    <b:Title>Supporting a person with personality disorder: a study of carer burden and well-being</b:Title>
    <b:JournalName>Journal of Personality Disorders</b:JournalName>
    <b:Year>2014</b:Year>
    <b:Pages>796-809</b:Pages>
    <b:Volume>28</b:Volume>
    <b:Issue>6</b:Issue>
    <b:RefOrder>2</b:RefOrder>
  </b:Source>
  <b:Source>
    <b:Tag>Fan13</b:Tag>
    <b:SourceType>JournalArticle</b:SourceType>
    <b:Guid>{831DDEB5-8032-402C-8F50-774F7BD86C9B}</b:Guid>
    <b:LCID>0</b:LCID>
    <b:Author>
      <b:Author>
        <b:NameList>
          <b:Person>
            <b:Last>Fanaian</b:Last>
            <b:First>Mahnaz</b:First>
          </b:Person>
          <b:Person>
            <b:Last>Lewis</b:Last>
            <b:First>Kate</b:First>
            <b:Middle>L</b:Middle>
          </b:Person>
          <b:Person>
            <b:Last>Grenyer</b:Last>
            <b:First>Brin</b:First>
            <b:Middle>F S</b:Middle>
          </b:Person>
        </b:NameList>
      </b:Author>
    </b:Author>
    <b:Title>Improving services for people with personality disorders: The views of experienced clinicians</b:Title>
    <b:JournalName>International Journal of Mental Health Nursing</b:JournalName>
    <b:Year>2013</b:Year>
    <b:Pages>465-471</b:Pages>
    <b:Volume>22</b:Volume>
    <b:Issue>5</b:Issue>
    <b:RefOrder>3</b:RefOrder>
  </b:Source>
  <b:Source>
    <b:Tag>McC13</b:Tag>
    <b:SourceType>JournalArticle</b:SourceType>
    <b:Guid>{6188D49F-DD1A-4326-AD9E-EE68069CB5B5}</b:Guid>
    <b:LCID>0</b:LCID>
    <b:Author>
      <b:Author>
        <b:NameList>
          <b:Person>
            <b:Last>McCarthy</b:Last>
            <b:First>Kye</b:First>
            <b:Middle>L</b:Middle>
          </b:Person>
          <b:Person>
            <b:Last>Carter</b:Last>
            <b:First>Phoebe</b:First>
            <b:Middle>E</b:Middle>
          </b:Person>
          <b:Person>
            <b:Last>Grenyer</b:Last>
            <b:First>Brin</b:First>
            <b:Middle>F S</b:Middle>
          </b:Person>
        </b:NameList>
      </b:Author>
    </b:Author>
    <b:Title>Challenges to getting evidence into practice: expert clinician perspectives on psychotherapy for personality disorders</b:Title>
    <b:JournalName>Journal of Mental Health</b:JournalName>
    <b:Year>2013</b:Year>
    <b:Pages>482-491</b:Pages>
    <b:Volume>22</b:Volume>
    <b:Issue>6</b:Issue>
    <b:RefOrder>4</b:RefOrder>
  </b:Source>
  <b:Source>
    <b:Tag>Cha11</b:Tag>
    <b:SourceType>JournalArticle</b:SourceType>
    <b:Guid>{2500CAE5-86E2-4CBF-9207-E44EAAF730E4}</b:Guid>
    <b:LCID>0</b:LCID>
    <b:Author>
      <b:Author>
        <b:NameList>
          <b:Person>
            <b:Last>Chang</b:Last>
            <b:First>Bonny</b:First>
          </b:Person>
          <b:Person>
            <b:Last>Sharp</b:Last>
            <b:First>Carla</b:First>
          </b:Person>
          <b:Person>
            <b:Last>Ha</b:Last>
            <b:First>Carolyn</b:First>
          </b:Person>
        </b:NameList>
      </b:Author>
    </b:Author>
    <b:Title>The criterion validity of the Borderline Personality Features Scale for Children in an adolescent inpatient setting</b:Title>
    <b:JournalName>Journal of Personality Disorders</b:JournalName>
    <b:Year>2011</b:Year>
    <b:Pages>492-503</b:Pages>
    <b:Volume>25</b:Volume>
    <b:Issue>4</b:Issue>
    <b:RefOrder>5</b:RefOrder>
  </b:Source>
</b:Sources>
</file>

<file path=customXml/itemProps1.xml><?xml version="1.0" encoding="utf-8"?>
<ds:datastoreItem xmlns:ds="http://schemas.openxmlformats.org/officeDocument/2006/customXml" ds:itemID="{D08F5C8B-34C7-4D15-A119-EF5939632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8</Pages>
  <Words>1923</Words>
  <Characters>10965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2019-11-22T11:04:00Z</dcterms:created>
  <dcterms:modified xsi:type="dcterms:W3CDTF">2019-11-22T17:49:00Z</dcterms:modified>
</cp:coreProperties>
</file>